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7E78C" w14:textId="77777777" w:rsidR="00440513" w:rsidRDefault="00440513" w:rsidP="00C77725">
      <w:pPr>
        <w:jc w:val="center"/>
        <w:rPr>
          <w:b/>
          <w:bCs/>
          <w:i/>
          <w:iCs/>
          <w:color w:val="FF0000"/>
          <w:sz w:val="28"/>
          <w:szCs w:val="28"/>
        </w:rPr>
      </w:pPr>
    </w:p>
    <w:p w14:paraId="1724FD44" w14:textId="3EEF8FAE" w:rsidR="00C77725" w:rsidRPr="00C77725" w:rsidRDefault="00440513" w:rsidP="00C77725">
      <w:pPr>
        <w:jc w:val="center"/>
        <w:rPr>
          <w:i/>
          <w:iCs/>
          <w:color w:val="002060"/>
          <w:sz w:val="28"/>
          <w:szCs w:val="28"/>
        </w:rPr>
      </w:pPr>
      <w:r w:rsidRPr="00F312DA">
        <w:rPr>
          <w:i/>
          <w:iCs/>
          <w:color w:val="002060"/>
          <w:sz w:val="28"/>
          <w:szCs w:val="28"/>
        </w:rPr>
        <w:t>“</w:t>
      </w:r>
      <w:r w:rsidR="00C77725" w:rsidRPr="00C77725">
        <w:rPr>
          <w:i/>
          <w:iCs/>
          <w:color w:val="002060"/>
          <w:sz w:val="28"/>
          <w:szCs w:val="28"/>
        </w:rPr>
        <w:t>Awareness is the path to Preparedness</w:t>
      </w:r>
      <w:r w:rsidR="00C77725" w:rsidRPr="00F312DA">
        <w:rPr>
          <w:i/>
          <w:iCs/>
          <w:color w:val="002060"/>
          <w:sz w:val="28"/>
          <w:szCs w:val="28"/>
        </w:rPr>
        <w:t xml:space="preserve">…” - </w:t>
      </w:r>
      <w:r w:rsidRPr="00F312DA">
        <w:rPr>
          <w:i/>
          <w:iCs/>
          <w:color w:val="002060"/>
          <w:sz w:val="28"/>
          <w:szCs w:val="28"/>
        </w:rPr>
        <w:t>Anonymous</w:t>
      </w:r>
    </w:p>
    <w:p w14:paraId="55016D25" w14:textId="77777777" w:rsidR="00440513" w:rsidRDefault="00440513" w:rsidP="00C77725">
      <w:pPr>
        <w:rPr>
          <w:b/>
          <w:bCs/>
        </w:rPr>
      </w:pPr>
    </w:p>
    <w:p w14:paraId="0114C5FD" w14:textId="382A9776" w:rsidR="00C77725" w:rsidRPr="00C77725" w:rsidRDefault="00C77725" w:rsidP="00C77725">
      <w:r w:rsidRPr="00C77725">
        <w:rPr>
          <w:b/>
          <w:bCs/>
        </w:rPr>
        <w:t>Electronic Health Record (EHR) platforms, telehealth services, and regional hospital database management systems</w:t>
      </w:r>
      <w:r w:rsidRPr="00C77725">
        <w:t xml:space="preserve"> were the primary medical systems disrupted by the drone strikes. Because many Middle Eastern healthcare providers rely on local AWS infrastructure due to data residency regulations, the physical destruction of the data centers caused localized system failures. </w:t>
      </w:r>
    </w:p>
    <w:p w14:paraId="14FC3BCD" w14:textId="77777777" w:rsidR="00C77725" w:rsidRPr="00C77725" w:rsidRDefault="00C77725" w:rsidP="00C77725">
      <w:pPr>
        <w:rPr>
          <w:b/>
          <w:bCs/>
        </w:rPr>
      </w:pPr>
      <w:r w:rsidRPr="00C77725">
        <w:rPr>
          <w:b/>
          <w:bCs/>
        </w:rPr>
        <w:t>Affected Healthcare Components</w:t>
      </w:r>
    </w:p>
    <w:p w14:paraId="2B8EE67D" w14:textId="77777777" w:rsidR="00C77725" w:rsidRPr="00C77725" w:rsidRDefault="00C77725" w:rsidP="00C77725">
      <w:pPr>
        <w:numPr>
          <w:ilvl w:val="0"/>
          <w:numId w:val="5"/>
        </w:numPr>
      </w:pPr>
      <w:r w:rsidRPr="00C77725">
        <w:rPr>
          <w:b/>
          <w:bCs/>
        </w:rPr>
        <w:t>Patient Portals &amp; EHR Access:</w:t>
      </w:r>
      <w:r w:rsidRPr="00C77725">
        <w:t xml:space="preserve"> Hospital staff experienced severe latency or a total inability to pull up electronic patient records, medical histories, and prescription logs hosted on impacted Amazon EC2 and DynamoDB instances.</w:t>
      </w:r>
    </w:p>
    <w:p w14:paraId="242D2589" w14:textId="77777777" w:rsidR="00C77725" w:rsidRPr="00C77725" w:rsidRDefault="00C77725" w:rsidP="00C77725">
      <w:pPr>
        <w:numPr>
          <w:ilvl w:val="0"/>
          <w:numId w:val="5"/>
        </w:numPr>
      </w:pPr>
      <w:r w:rsidRPr="00C77725">
        <w:rPr>
          <w:b/>
          <w:bCs/>
        </w:rPr>
        <w:t>Telehealth Platforms:</w:t>
      </w:r>
      <w:r w:rsidRPr="00C77725">
        <w:t xml:space="preserve"> Live virtual consultations and remote patient monitoring services across the Gulf region faced high error rates and connection drops due to disrupted cloud compute networks.</w:t>
      </w:r>
    </w:p>
    <w:p w14:paraId="7305CBFA" w14:textId="77777777" w:rsidR="00C77725" w:rsidRPr="00C77725" w:rsidRDefault="00C77725" w:rsidP="00C77725">
      <w:pPr>
        <w:numPr>
          <w:ilvl w:val="0"/>
          <w:numId w:val="5"/>
        </w:numPr>
      </w:pPr>
      <w:r w:rsidRPr="00C77725">
        <w:rPr>
          <w:b/>
          <w:bCs/>
        </w:rPr>
        <w:t>Medical Storage and Imaging:</w:t>
      </w:r>
      <w:r w:rsidRPr="00C77725">
        <w:t xml:space="preserve"> Retrieval of heavy diagnostic files, such as X-rays and MRI scans stored on Amazon S3, faced widespread download and upload failures. [</w:t>
      </w:r>
      <w:hyperlink r:id="rId7" w:history="1">
        <w:r w:rsidRPr="00C77725">
          <w:rPr>
            <w:rStyle w:val="Hyperlink"/>
          </w:rPr>
          <w:t>1</w:t>
        </w:r>
      </w:hyperlink>
      <w:r w:rsidRPr="00C77725">
        <w:t xml:space="preserve">, </w:t>
      </w:r>
      <w:hyperlink r:id="rId8" w:history="1">
        <w:r w:rsidRPr="00C77725">
          <w:rPr>
            <w:rStyle w:val="Hyperlink"/>
          </w:rPr>
          <w:t>2</w:t>
        </w:r>
      </w:hyperlink>
      <w:r w:rsidRPr="00C77725">
        <w:t xml:space="preserve">, </w:t>
      </w:r>
      <w:hyperlink r:id="rId9" w:history="1">
        <w:r w:rsidRPr="00C77725">
          <w:rPr>
            <w:rStyle w:val="Hyperlink"/>
          </w:rPr>
          <w:t>3</w:t>
        </w:r>
      </w:hyperlink>
      <w:r w:rsidRPr="00C77725">
        <w:t>]</w:t>
      </w:r>
    </w:p>
    <w:p w14:paraId="406F17CA" w14:textId="77777777" w:rsidR="00C77725" w:rsidRPr="00C77725" w:rsidRDefault="00C77725" w:rsidP="00C77725">
      <w:pPr>
        <w:rPr>
          <w:b/>
          <w:bCs/>
        </w:rPr>
      </w:pPr>
      <w:r w:rsidRPr="00C77725">
        <w:rPr>
          <w:b/>
          <w:bCs/>
        </w:rPr>
        <w:t>Mitigation &amp; Continuity</w:t>
      </w:r>
    </w:p>
    <w:p w14:paraId="00F07A13" w14:textId="77777777" w:rsidR="00C77725" w:rsidRPr="00C77725" w:rsidRDefault="00C77725" w:rsidP="00C77725">
      <w:pPr>
        <w:numPr>
          <w:ilvl w:val="0"/>
          <w:numId w:val="6"/>
        </w:numPr>
      </w:pPr>
      <w:r w:rsidRPr="00C77725">
        <w:rPr>
          <w:b/>
          <w:bCs/>
        </w:rPr>
        <w:t>Local Offline Backups:</w:t>
      </w:r>
      <w:r w:rsidRPr="00C77725">
        <w:t xml:space="preserve"> Affected medical networks temporarily reverted to localized on-premise emergency protocols and offline backups to continue triage and patient care.</w:t>
      </w:r>
    </w:p>
    <w:p w14:paraId="2487EEA4" w14:textId="77777777" w:rsidR="00C77725" w:rsidRPr="00C77725" w:rsidRDefault="00C77725" w:rsidP="00C77725">
      <w:pPr>
        <w:numPr>
          <w:ilvl w:val="0"/>
          <w:numId w:val="6"/>
        </w:numPr>
      </w:pPr>
      <w:r w:rsidRPr="00C77725">
        <w:rPr>
          <w:b/>
          <w:bCs/>
        </w:rPr>
        <w:t>Data Residency Workarounds:</w:t>
      </w:r>
      <w:r w:rsidRPr="00C77725">
        <w:t xml:space="preserve"> While AWS recommended migrating workloads to alternative global regions, healthcare systems bound by strict geographic data privacy laws faced longer restoration delays while navigating regulatory exemptions</w:t>
      </w:r>
    </w:p>
    <w:p w14:paraId="20ABD359" w14:textId="77777777" w:rsidR="009B6433" w:rsidRPr="001616AC" w:rsidRDefault="009B6433" w:rsidP="001616AC"/>
    <w:sectPr w:rsidR="009B6433" w:rsidRPr="001616A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77121" w14:textId="77777777" w:rsidR="003F7BEF" w:rsidRDefault="003F7BEF" w:rsidP="00544AD4">
      <w:pPr>
        <w:spacing w:line="240" w:lineRule="auto"/>
      </w:pPr>
      <w:r>
        <w:separator/>
      </w:r>
    </w:p>
  </w:endnote>
  <w:endnote w:type="continuationSeparator" w:id="0">
    <w:p w14:paraId="2C97F1AA" w14:textId="77777777" w:rsidR="003F7BEF" w:rsidRDefault="003F7BEF" w:rsidP="00544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C50DC" w14:textId="77777777" w:rsidR="003F7BEF" w:rsidRDefault="003F7BEF" w:rsidP="00544AD4">
      <w:pPr>
        <w:spacing w:line="240" w:lineRule="auto"/>
      </w:pPr>
      <w:r>
        <w:separator/>
      </w:r>
    </w:p>
  </w:footnote>
  <w:footnote w:type="continuationSeparator" w:id="0">
    <w:p w14:paraId="7E0ECEC0" w14:textId="77777777" w:rsidR="003F7BEF" w:rsidRDefault="003F7BEF" w:rsidP="00544A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53DD" w14:textId="258B6546" w:rsidR="00544AD4" w:rsidRPr="00544AD4" w:rsidRDefault="00544AD4">
    <w:pPr>
      <w:pStyle w:val="Header"/>
      <w:rPr>
        <w:b/>
        <w:color w:val="00206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rPr>
      <w:drawing>
        <wp:inline distT="0" distB="0" distL="0" distR="0" wp14:anchorId="0B6B575D" wp14:editId="1548AAC2">
          <wp:extent cx="753626"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0943" cy="690918"/>
                  </a:xfrm>
                  <a:prstGeom prst="rect">
                    <a:avLst/>
                  </a:prstGeom>
                </pic:spPr>
              </pic:pic>
            </a:graphicData>
          </a:graphic>
        </wp:inline>
      </w:drawing>
    </w:r>
    <w:r w:rsidRPr="00544AD4">
      <w:rPr>
        <w:b/>
        <w:color w:val="00206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OrcaWolf AI, LLC – Confidential &amp;  Intellectual Property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F39"/>
    <w:multiLevelType w:val="multilevel"/>
    <w:tmpl w:val="53F6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2775B"/>
    <w:multiLevelType w:val="multilevel"/>
    <w:tmpl w:val="26CE3AF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C8A0D5B"/>
    <w:multiLevelType w:val="multilevel"/>
    <w:tmpl w:val="37C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D635F3"/>
    <w:multiLevelType w:val="multilevel"/>
    <w:tmpl w:val="C7A2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7C149E"/>
    <w:multiLevelType w:val="multilevel"/>
    <w:tmpl w:val="6186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841831"/>
    <w:multiLevelType w:val="multilevel"/>
    <w:tmpl w:val="A39E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8703004">
    <w:abstractNumId w:val="1"/>
  </w:num>
  <w:num w:numId="2" w16cid:durableId="1751344357">
    <w:abstractNumId w:val="0"/>
  </w:num>
  <w:num w:numId="3" w16cid:durableId="1835486152">
    <w:abstractNumId w:val="5"/>
  </w:num>
  <w:num w:numId="4" w16cid:durableId="969818399">
    <w:abstractNumId w:val="4"/>
  </w:num>
  <w:num w:numId="5" w16cid:durableId="882520475">
    <w:abstractNumId w:val="2"/>
  </w:num>
  <w:num w:numId="6" w16cid:durableId="2051685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AD4"/>
    <w:rsid w:val="0000017F"/>
    <w:rsid w:val="000F794F"/>
    <w:rsid w:val="001616AC"/>
    <w:rsid w:val="00372E56"/>
    <w:rsid w:val="003F7BEF"/>
    <w:rsid w:val="00401F3B"/>
    <w:rsid w:val="00440513"/>
    <w:rsid w:val="00544AD4"/>
    <w:rsid w:val="00553E87"/>
    <w:rsid w:val="00666004"/>
    <w:rsid w:val="006D16FD"/>
    <w:rsid w:val="00770D6D"/>
    <w:rsid w:val="009B6433"/>
    <w:rsid w:val="00C749C4"/>
    <w:rsid w:val="00C77725"/>
    <w:rsid w:val="00CC5158"/>
    <w:rsid w:val="00E82B21"/>
    <w:rsid w:val="00F31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3F40"/>
  <w15:chartTrackingRefBased/>
  <w15:docId w15:val="{3572ACF8-F673-45F3-9BA0-81BCB87B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A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666004"/>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544A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A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A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A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A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A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A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6004"/>
    <w:rPr>
      <w:rFonts w:asciiTheme="majorHAnsi" w:eastAsiaTheme="majorEastAsia" w:hAnsiTheme="majorHAnsi" w:cstheme="majorBidi"/>
      <w:b/>
      <w:bCs/>
      <w:smallCaps/>
      <w:color w:val="000000" w:themeColor="text1"/>
      <w:sz w:val="28"/>
      <w:szCs w:val="28"/>
    </w:rPr>
  </w:style>
  <w:style w:type="character" w:customStyle="1" w:styleId="Heading1Char">
    <w:name w:val="Heading 1 Char"/>
    <w:basedOn w:val="DefaultParagraphFont"/>
    <w:link w:val="Heading1"/>
    <w:uiPriority w:val="9"/>
    <w:rsid w:val="00544AD4"/>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544A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A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A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A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A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A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AD4"/>
    <w:rPr>
      <w:rFonts w:eastAsiaTheme="majorEastAsia" w:cstheme="majorBidi"/>
      <w:color w:val="272727" w:themeColor="text1" w:themeTint="D8"/>
    </w:rPr>
  </w:style>
  <w:style w:type="paragraph" w:styleId="Title">
    <w:name w:val="Title"/>
    <w:basedOn w:val="Normal"/>
    <w:next w:val="Normal"/>
    <w:link w:val="TitleChar"/>
    <w:uiPriority w:val="10"/>
    <w:qFormat/>
    <w:rsid w:val="00544A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A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A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A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A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4AD4"/>
    <w:rPr>
      <w:i/>
      <w:iCs/>
      <w:color w:val="404040" w:themeColor="text1" w:themeTint="BF"/>
    </w:rPr>
  </w:style>
  <w:style w:type="paragraph" w:styleId="ListParagraph">
    <w:name w:val="List Paragraph"/>
    <w:basedOn w:val="Normal"/>
    <w:uiPriority w:val="34"/>
    <w:qFormat/>
    <w:rsid w:val="00544AD4"/>
    <w:pPr>
      <w:ind w:left="720"/>
      <w:contextualSpacing/>
    </w:pPr>
  </w:style>
  <w:style w:type="character" w:styleId="IntenseEmphasis">
    <w:name w:val="Intense Emphasis"/>
    <w:basedOn w:val="DefaultParagraphFont"/>
    <w:uiPriority w:val="21"/>
    <w:qFormat/>
    <w:rsid w:val="00544AD4"/>
    <w:rPr>
      <w:i/>
      <w:iCs/>
      <w:color w:val="0F4761" w:themeColor="accent1" w:themeShade="BF"/>
    </w:rPr>
  </w:style>
  <w:style w:type="paragraph" w:styleId="IntenseQuote">
    <w:name w:val="Intense Quote"/>
    <w:basedOn w:val="Normal"/>
    <w:next w:val="Normal"/>
    <w:link w:val="IntenseQuoteChar"/>
    <w:uiPriority w:val="30"/>
    <w:qFormat/>
    <w:rsid w:val="00544A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AD4"/>
    <w:rPr>
      <w:i/>
      <w:iCs/>
      <w:color w:val="0F4761" w:themeColor="accent1" w:themeShade="BF"/>
    </w:rPr>
  </w:style>
  <w:style w:type="character" w:styleId="IntenseReference">
    <w:name w:val="Intense Reference"/>
    <w:basedOn w:val="DefaultParagraphFont"/>
    <w:uiPriority w:val="32"/>
    <w:qFormat/>
    <w:rsid w:val="00544AD4"/>
    <w:rPr>
      <w:b/>
      <w:bCs/>
      <w:smallCaps/>
      <w:color w:val="0F4761" w:themeColor="accent1" w:themeShade="BF"/>
      <w:spacing w:val="5"/>
    </w:rPr>
  </w:style>
  <w:style w:type="paragraph" w:styleId="Header">
    <w:name w:val="header"/>
    <w:basedOn w:val="Normal"/>
    <w:link w:val="HeaderChar"/>
    <w:uiPriority w:val="99"/>
    <w:unhideWhenUsed/>
    <w:rsid w:val="00544AD4"/>
    <w:pPr>
      <w:tabs>
        <w:tab w:val="center" w:pos="4680"/>
        <w:tab w:val="right" w:pos="9360"/>
      </w:tabs>
      <w:spacing w:line="240" w:lineRule="auto"/>
    </w:pPr>
  </w:style>
  <w:style w:type="character" w:customStyle="1" w:styleId="HeaderChar">
    <w:name w:val="Header Char"/>
    <w:basedOn w:val="DefaultParagraphFont"/>
    <w:link w:val="Header"/>
    <w:uiPriority w:val="99"/>
    <w:rsid w:val="00544AD4"/>
  </w:style>
  <w:style w:type="paragraph" w:styleId="Footer">
    <w:name w:val="footer"/>
    <w:basedOn w:val="Normal"/>
    <w:link w:val="FooterChar"/>
    <w:uiPriority w:val="99"/>
    <w:unhideWhenUsed/>
    <w:rsid w:val="00544AD4"/>
    <w:pPr>
      <w:tabs>
        <w:tab w:val="center" w:pos="4680"/>
        <w:tab w:val="right" w:pos="9360"/>
      </w:tabs>
      <w:spacing w:line="240" w:lineRule="auto"/>
    </w:pPr>
  </w:style>
  <w:style w:type="character" w:customStyle="1" w:styleId="FooterChar">
    <w:name w:val="Footer Char"/>
    <w:basedOn w:val="DefaultParagraphFont"/>
    <w:link w:val="Footer"/>
    <w:uiPriority w:val="99"/>
    <w:rsid w:val="00544AD4"/>
  </w:style>
  <w:style w:type="character" w:styleId="Hyperlink">
    <w:name w:val="Hyperlink"/>
    <w:basedOn w:val="DefaultParagraphFont"/>
    <w:uiPriority w:val="99"/>
    <w:unhideWhenUsed/>
    <w:rsid w:val="00C77725"/>
    <w:rPr>
      <w:color w:val="467886" w:themeColor="hyperlink"/>
      <w:u w:val="single"/>
    </w:rPr>
  </w:style>
  <w:style w:type="character" w:styleId="UnresolvedMention">
    <w:name w:val="Unresolved Mention"/>
    <w:basedOn w:val="DefaultParagraphFont"/>
    <w:uiPriority w:val="99"/>
    <w:semiHidden/>
    <w:unhideWhenUsed/>
    <w:rsid w:val="00C77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29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uterweekly.com/opinion/Drone-strikes-show-why-key-military-principles-apply-to-cloud-data" TargetMode="External"/><Relationship Id="rId3" Type="http://schemas.openxmlformats.org/officeDocument/2006/relationships/settings" Target="settings.xml"/><Relationship Id="rId7" Type="http://schemas.openxmlformats.org/officeDocument/2006/relationships/hyperlink" Target="https://paramountassure.com/cyber-advisory/drone-strikes-damage-aws-data-centres-in-uae-and-bahrain-disrupting-servi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euters.com/world/middle-east/amazons-cloud-unit-says-drone-strikes-damaged-uae-bahrain-facilities-2026-03-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1603</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Wolf</dc:creator>
  <cp:keywords/>
  <dc:description/>
  <cp:lastModifiedBy>John Wolf</cp:lastModifiedBy>
  <cp:revision>2</cp:revision>
  <dcterms:created xsi:type="dcterms:W3CDTF">2026-05-24T17:45:00Z</dcterms:created>
  <dcterms:modified xsi:type="dcterms:W3CDTF">2026-05-24T17:45:00Z</dcterms:modified>
</cp:coreProperties>
</file>